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08" w:type="dxa"/>
        <w:tblLook w:val="04A0" w:firstRow="1" w:lastRow="0" w:firstColumn="1" w:lastColumn="0" w:noHBand="0" w:noVBand="1"/>
      </w:tblPr>
      <w:tblGrid>
        <w:gridCol w:w="846"/>
        <w:gridCol w:w="6952"/>
        <w:gridCol w:w="817"/>
      </w:tblGrid>
      <w:tr w:rsidR="0005660E" w:rsidRPr="0005660E" w:rsidTr="0017248C">
        <w:trPr>
          <w:trHeight w:val="1276"/>
        </w:trPr>
        <w:tc>
          <w:tcPr>
            <w:tcW w:w="704" w:type="dxa"/>
          </w:tcPr>
          <w:p w:rsidR="0005660E" w:rsidRPr="0005660E" w:rsidRDefault="00FF6AB5" w:rsidP="00D572B5">
            <w:pPr>
              <w:spacing w:line="276" w:lineRule="auto"/>
              <w:jc w:val="right"/>
              <w:rPr>
                <w:rFonts w:eastAsia="ＭＳ 明朝"/>
                <w:lang w:eastAsia="ja-JP"/>
              </w:rPr>
            </w:pPr>
            <w:r w:rsidRPr="0005660E">
              <w:rPr>
                <w:rFonts w:eastAsia="ＭＳ 明朝"/>
                <w:noProof/>
                <w:lang w:eastAsia="ja-JP"/>
              </w:rPr>
              <w:drawing>
                <wp:inline distT="0" distB="0" distL="0" distR="0">
                  <wp:extent cx="400050" cy="781050"/>
                  <wp:effectExtent l="0" t="0" r="0" b="0"/>
                  <wp:docPr id="1" name="図 2" descr="r3b-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descr="r3b-s.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0050" cy="781050"/>
                          </a:xfrm>
                          <a:prstGeom prst="rect">
                            <a:avLst/>
                          </a:prstGeom>
                          <a:noFill/>
                          <a:ln>
                            <a:noFill/>
                          </a:ln>
                        </pic:spPr>
                      </pic:pic>
                    </a:graphicData>
                  </a:graphic>
                </wp:inline>
              </w:drawing>
            </w:r>
          </w:p>
        </w:tc>
        <w:tc>
          <w:tcPr>
            <w:tcW w:w="7093" w:type="dxa"/>
          </w:tcPr>
          <w:p w:rsidR="004A56D2" w:rsidRDefault="004A56D2" w:rsidP="00D572B5">
            <w:pPr>
              <w:spacing w:line="276" w:lineRule="auto"/>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4A56D2" w:rsidRDefault="004A56D2" w:rsidP="00D572B5">
            <w:pPr>
              <w:spacing w:line="276" w:lineRule="auto"/>
              <w:jc w:val="center"/>
              <w:rPr>
                <w:b/>
                <w:smallCaps/>
                <w:sz w:val="30"/>
              </w:rPr>
            </w:pPr>
            <w:r>
              <w:rPr>
                <w:rFonts w:hint="eastAsia"/>
                <w:b/>
                <w:position w:val="6"/>
                <w:sz w:val="30"/>
              </w:rPr>
              <w:t>REGION 3</w:t>
            </w:r>
          </w:p>
          <w:p w:rsidR="0005660E" w:rsidRPr="009C09CD" w:rsidRDefault="009C09CD" w:rsidP="00D572B5">
            <w:pPr>
              <w:spacing w:line="276" w:lineRule="auto"/>
              <w:jc w:val="center"/>
              <w:rPr>
                <w:rFonts w:eastAsia="ＭＳ 明朝"/>
                <w:b/>
                <w:sz w:val="30"/>
                <w:szCs w:val="30"/>
                <w:lang w:eastAsia="ja-JP"/>
              </w:rPr>
            </w:pPr>
            <w:r w:rsidRPr="009C09CD">
              <w:rPr>
                <w:rFonts w:eastAsia="ＭＳ 明朝"/>
                <w:b/>
                <w:sz w:val="30"/>
                <w:szCs w:val="30"/>
                <w:lang w:eastAsia="ja-JP"/>
              </w:rPr>
              <w:t>SIXTEENTH  REGIONAL  CONFERENCE</w:t>
            </w:r>
          </w:p>
        </w:tc>
        <w:tc>
          <w:tcPr>
            <w:tcW w:w="818" w:type="dxa"/>
          </w:tcPr>
          <w:p w:rsidR="0005660E" w:rsidRPr="0005660E" w:rsidRDefault="00FF6AB5" w:rsidP="00D572B5">
            <w:pPr>
              <w:spacing w:line="276" w:lineRule="auto"/>
              <w:jc w:val="right"/>
              <w:rPr>
                <w:rFonts w:eastAsia="ＭＳ 明朝"/>
                <w:lang w:eastAsia="ja-JP"/>
              </w:rPr>
            </w:pPr>
            <w:r>
              <w:rPr>
                <w:rFonts w:eastAsia="ＭＳ 明朝" w:hint="eastAsia"/>
                <w:noProof/>
                <w:lang w:eastAsia="ja-JP"/>
              </w:rPr>
              <w:drawing>
                <wp:inline distT="0" distB="0" distL="0" distR="0" wp14:anchorId="0A14BF9A" wp14:editId="59071A29">
                  <wp:extent cx="352425" cy="781050"/>
                  <wp:effectExtent l="0" t="0" r="9525" b="0"/>
                  <wp:docPr id="5" name="図 5" descr="C:\Users\intl\Desktop\ORARI_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ntl\Desktop\ORARI_Logo.g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781050"/>
                          </a:xfrm>
                          <a:prstGeom prst="rect">
                            <a:avLst/>
                          </a:prstGeom>
                          <a:noFill/>
                          <a:ln>
                            <a:noFill/>
                          </a:ln>
                        </pic:spPr>
                      </pic:pic>
                    </a:graphicData>
                  </a:graphic>
                </wp:inline>
              </w:drawing>
            </w:r>
          </w:p>
        </w:tc>
      </w:tr>
    </w:tbl>
    <w:p w:rsidR="004A56D2" w:rsidRDefault="009C09CD" w:rsidP="00D572B5">
      <w:pPr>
        <w:pStyle w:val="Head"/>
        <w:pBdr>
          <w:bottom w:val="single" w:sz="12" w:space="1" w:color="auto"/>
        </w:pBdr>
        <w:tabs>
          <w:tab w:val="clear" w:pos="6663"/>
          <w:tab w:val="right" w:pos="8647"/>
        </w:tabs>
        <w:spacing w:line="276" w:lineRule="auto"/>
        <w:ind w:leftChars="50" w:left="120" w:rightChars="-70" w:right="-168"/>
        <w:rPr>
          <w:sz w:val="21"/>
          <w:lang w:val="en-US"/>
        </w:rPr>
      </w:pPr>
      <w:r>
        <w:rPr>
          <w:sz w:val="21"/>
          <w:lang w:val="en-US"/>
        </w:rPr>
        <w:t>12</w:t>
      </w:r>
      <w:r w:rsidR="004A56D2">
        <w:rPr>
          <w:rFonts w:hint="eastAsia"/>
          <w:sz w:val="21"/>
          <w:lang w:val="en-US"/>
        </w:rPr>
        <w:t xml:space="preserve"> </w:t>
      </w:r>
      <w:r w:rsidR="004A56D2">
        <w:rPr>
          <w:sz w:val="21"/>
          <w:lang w:val="en-US"/>
        </w:rPr>
        <w:t>–</w:t>
      </w:r>
      <w:r w:rsidR="004A56D2">
        <w:rPr>
          <w:rFonts w:hint="eastAsia"/>
          <w:sz w:val="21"/>
          <w:lang w:val="en-US"/>
        </w:rPr>
        <w:t xml:space="preserve"> </w:t>
      </w:r>
      <w:r>
        <w:rPr>
          <w:sz w:val="21"/>
          <w:lang w:val="en-US"/>
        </w:rPr>
        <w:t>16</w:t>
      </w:r>
      <w:r w:rsidR="004A56D2">
        <w:rPr>
          <w:rFonts w:hint="eastAsia"/>
          <w:sz w:val="21"/>
          <w:lang w:val="en-US"/>
        </w:rPr>
        <w:t xml:space="preserve"> </w:t>
      </w:r>
      <w:r>
        <w:rPr>
          <w:sz w:val="21"/>
          <w:lang w:val="en-US"/>
        </w:rPr>
        <w:t>Octo</w:t>
      </w:r>
      <w:r w:rsidR="004A56D2">
        <w:rPr>
          <w:rFonts w:hint="eastAsia"/>
          <w:sz w:val="21"/>
          <w:lang w:val="en-US"/>
        </w:rPr>
        <w:t>ber 20</w:t>
      </w:r>
      <w:r w:rsidR="002F418E">
        <w:rPr>
          <w:rFonts w:hint="eastAsia"/>
          <w:sz w:val="21"/>
          <w:lang w:val="en-US"/>
        </w:rPr>
        <w:t>1</w:t>
      </w:r>
      <w:r>
        <w:rPr>
          <w:sz w:val="21"/>
          <w:lang w:val="en-US"/>
        </w:rPr>
        <w:t>5</w:t>
      </w:r>
      <w:r w:rsidR="004A56D2">
        <w:rPr>
          <w:rFonts w:hint="eastAsia"/>
          <w:sz w:val="21"/>
          <w:lang w:val="en-US"/>
        </w:rPr>
        <w:tab/>
      </w:r>
      <w:r>
        <w:rPr>
          <w:sz w:val="21"/>
          <w:lang w:val="en-US"/>
        </w:rPr>
        <w:t>Bali, Indonesia</w:t>
      </w:r>
    </w:p>
    <w:p w:rsidR="004A56D2" w:rsidRDefault="004A56D2" w:rsidP="00D572B5">
      <w:pPr>
        <w:pStyle w:val="Data"/>
        <w:spacing w:line="276" w:lineRule="auto"/>
        <w:rPr>
          <w:sz w:val="20"/>
          <w:lang w:val="en-US"/>
        </w:rPr>
      </w:pPr>
    </w:p>
    <w:p w:rsidR="004A56D2" w:rsidRDefault="004A56D2" w:rsidP="00D572B5">
      <w:pPr>
        <w:pStyle w:val="Head"/>
        <w:tabs>
          <w:tab w:val="clear" w:pos="6663"/>
        </w:tabs>
        <w:wordWrap w:val="0"/>
        <w:spacing w:line="276" w:lineRule="auto"/>
        <w:ind w:rightChars="-70" w:right="-168"/>
        <w:jc w:val="right"/>
        <w:rPr>
          <w:lang w:val="en-US"/>
        </w:rPr>
      </w:pPr>
      <w:r>
        <w:rPr>
          <w:b/>
          <w:lang w:val="en-US"/>
        </w:rPr>
        <w:t xml:space="preserve">Document </w:t>
      </w:r>
      <w:r>
        <w:rPr>
          <w:rFonts w:hint="eastAsia"/>
          <w:b/>
          <w:lang w:val="en-US"/>
        </w:rPr>
        <w:t xml:space="preserve">No. </w:t>
      </w:r>
      <w:r w:rsidR="002F418E">
        <w:rPr>
          <w:rFonts w:hint="eastAsia"/>
          <w:b/>
          <w:lang w:val="en-US"/>
        </w:rPr>
        <w:t>1</w:t>
      </w:r>
      <w:r w:rsidR="009C09CD">
        <w:rPr>
          <w:b/>
          <w:lang w:val="en-US"/>
        </w:rPr>
        <w:t>5</w:t>
      </w:r>
      <w:r>
        <w:rPr>
          <w:rFonts w:hint="eastAsia"/>
          <w:b/>
          <w:lang w:val="en-US"/>
        </w:rPr>
        <w:t>/XV</w:t>
      </w:r>
      <w:r w:rsidR="009C09CD">
        <w:rPr>
          <w:b/>
          <w:lang w:val="en-US"/>
        </w:rPr>
        <w:t>I</w:t>
      </w:r>
      <w:r w:rsidR="00A56670">
        <w:rPr>
          <w:rFonts w:hint="eastAsia"/>
          <w:b/>
          <w:lang w:val="en-US"/>
        </w:rPr>
        <w:t>/005</w:t>
      </w:r>
      <w:r w:rsidR="00A56670">
        <w:rPr>
          <w:b/>
          <w:lang w:val="en-US"/>
        </w:rPr>
        <w:t>a3</w:t>
      </w:r>
    </w:p>
    <w:p w:rsidR="004A56D2" w:rsidRDefault="004A56D2" w:rsidP="00D572B5">
      <w:pPr>
        <w:pStyle w:val="Head"/>
        <w:tabs>
          <w:tab w:val="clear" w:pos="6663"/>
        </w:tabs>
        <w:wordWrap w:val="0"/>
        <w:spacing w:line="276" w:lineRule="auto"/>
        <w:ind w:rightChars="-70" w:right="-168"/>
        <w:jc w:val="right"/>
        <w:rPr>
          <w:lang w:val="en-US"/>
        </w:rPr>
      </w:pPr>
      <w:r>
        <w:rPr>
          <w:rFonts w:hint="eastAsia"/>
          <w:lang w:val="en-US"/>
        </w:rPr>
        <w:t xml:space="preserve">Agenda Item: </w:t>
      </w:r>
      <w:r w:rsidR="00E77BF9">
        <w:rPr>
          <w:lang w:val="en-US"/>
        </w:rPr>
        <w:t>10</w:t>
      </w:r>
      <w:r w:rsidR="00E77BF9">
        <w:rPr>
          <w:rFonts w:hint="eastAsia"/>
          <w:lang w:val="en-US"/>
        </w:rPr>
        <w:t>.</w:t>
      </w:r>
      <w:r w:rsidR="00E77BF9">
        <w:rPr>
          <w:lang w:val="en-US"/>
        </w:rPr>
        <w:t>1.2</w:t>
      </w:r>
    </w:p>
    <w:p w:rsidR="004A56D2" w:rsidRDefault="004A56D2" w:rsidP="00D572B5">
      <w:pPr>
        <w:pStyle w:val="Subject"/>
        <w:tabs>
          <w:tab w:val="clear" w:pos="1134"/>
        </w:tabs>
        <w:spacing w:line="276" w:lineRule="auto"/>
        <w:ind w:left="0" w:firstLine="0"/>
        <w:rPr>
          <w:lang w:val="en-US"/>
        </w:rPr>
      </w:pPr>
      <w:bookmarkStart w:id="0" w:name="recibido"/>
      <w:bookmarkEnd w:id="0"/>
    </w:p>
    <w:p w:rsidR="004D2E86" w:rsidRPr="00E77BF9" w:rsidRDefault="00E77BF9" w:rsidP="00D572B5">
      <w:pPr>
        <w:spacing w:line="276" w:lineRule="auto"/>
        <w:jc w:val="center"/>
        <w:rPr>
          <w:b/>
        </w:rPr>
      </w:pPr>
      <w:r w:rsidRPr="00836BE4">
        <w:rPr>
          <w:b/>
        </w:rPr>
        <w:t>Shizuo Endo, JE1MUI</w:t>
      </w:r>
      <w:r>
        <w:rPr>
          <w:b/>
        </w:rPr>
        <w:t xml:space="preserve"> Report to Conference</w:t>
      </w:r>
    </w:p>
    <w:p w:rsidR="00E77BF9" w:rsidRPr="006F09F0" w:rsidRDefault="00E77BF9" w:rsidP="00D572B5">
      <w:pPr>
        <w:spacing w:line="276" w:lineRule="auto"/>
      </w:pPr>
    </w:p>
    <w:p w:rsidR="00E77BF9" w:rsidRPr="00836BE4" w:rsidRDefault="00E77BF9" w:rsidP="00D572B5">
      <w:pPr>
        <w:pStyle w:val="ab"/>
        <w:numPr>
          <w:ilvl w:val="0"/>
          <w:numId w:val="9"/>
        </w:numPr>
        <w:spacing w:line="276" w:lineRule="auto"/>
        <w:ind w:leftChars="0"/>
        <w:rPr>
          <w:rFonts w:ascii="Times New Roman" w:hAnsi="Times New Roman" w:cs="Times New Roman"/>
          <w:b/>
          <w:sz w:val="24"/>
          <w:szCs w:val="24"/>
        </w:rPr>
      </w:pPr>
      <w:r w:rsidRPr="00836BE4">
        <w:rPr>
          <w:rFonts w:ascii="Times New Roman" w:hAnsi="Times New Roman" w:cs="Times New Roman"/>
          <w:b/>
          <w:sz w:val="24"/>
          <w:szCs w:val="24"/>
        </w:rPr>
        <w:t>APT issues</w:t>
      </w:r>
    </w:p>
    <w:p w:rsidR="00E77BF9" w:rsidRPr="00836BE4" w:rsidRDefault="00E77BF9" w:rsidP="00D572B5">
      <w:pPr>
        <w:spacing w:line="276" w:lineRule="auto"/>
        <w:rPr>
          <w:b/>
        </w:rPr>
      </w:pPr>
      <w:r w:rsidRPr="00836BE4">
        <w:rPr>
          <w:b/>
        </w:rPr>
        <w:t>1.1 APG</w:t>
      </w:r>
    </w:p>
    <w:p w:rsidR="00E77BF9" w:rsidRPr="006F09F0" w:rsidRDefault="00E77BF9" w:rsidP="00D572B5">
      <w:pPr>
        <w:spacing w:line="276" w:lineRule="auto"/>
      </w:pPr>
      <w:r w:rsidRPr="006F09F0">
        <w:t>Under the current constitutional arrangements the three IARU Regional organizations take responsibility for representing the amateur service before their Regional Telecommunication Organizations (RTOs), particularly in relation to Regional meetings preparatory to a WRC, and the IARU is responsible for representing the amateur services at the ITU preparatory meetings such as ITU-R working parties and CPM meetings and at a WRC.</w:t>
      </w:r>
    </w:p>
    <w:p w:rsidR="00E77BF9" w:rsidRPr="006F09F0" w:rsidRDefault="00E77BF9" w:rsidP="00D572B5">
      <w:pPr>
        <w:spacing w:line="276" w:lineRule="auto"/>
      </w:pPr>
    </w:p>
    <w:p w:rsidR="00E77BF9" w:rsidRPr="006F09F0" w:rsidRDefault="00E77BF9" w:rsidP="00D572B5">
      <w:pPr>
        <w:spacing w:line="276" w:lineRule="auto"/>
      </w:pPr>
      <w:r w:rsidRPr="006F09F0">
        <w:t>In our Region</w:t>
      </w:r>
      <w:r>
        <w:t xml:space="preserve">, </w:t>
      </w:r>
      <w:r w:rsidRPr="006F09F0">
        <w:t xml:space="preserve">IARU Region 3 is responsible for representing the amateur services at the preparatory meetings of the Asia-Pacific Telecommunity, the APT, and in particular the APT Conference Preparatory Group meetings, the APG.  One of the objectives of the APG is to develop APT Common Proposals for each WRC agenda item. </w:t>
      </w:r>
    </w:p>
    <w:p w:rsidR="00E77BF9" w:rsidRPr="006F09F0" w:rsidRDefault="00E77BF9" w:rsidP="00D572B5">
      <w:pPr>
        <w:spacing w:line="276" w:lineRule="auto"/>
      </w:pPr>
    </w:p>
    <w:p w:rsidR="00E77BF9" w:rsidRPr="006F09F0" w:rsidRDefault="00E77BF9" w:rsidP="00D572B5">
      <w:pPr>
        <w:spacing w:line="276" w:lineRule="auto"/>
      </w:pPr>
      <w:r w:rsidRPr="006F09F0">
        <w:t xml:space="preserve">One or two directors attended the APG meetings (APT Conference Preparatory Group meetings for the WRC-2015). </w:t>
      </w:r>
    </w:p>
    <w:p w:rsidR="00E77BF9" w:rsidRPr="006F09F0" w:rsidRDefault="00E77BF9" w:rsidP="00D572B5">
      <w:pPr>
        <w:spacing w:line="276" w:lineRule="auto"/>
      </w:pPr>
    </w:p>
    <w:p w:rsidR="00E77BF9" w:rsidRPr="006F09F0" w:rsidRDefault="00E77BF9" w:rsidP="00D572B5">
      <w:pPr>
        <w:spacing w:line="276" w:lineRule="auto"/>
        <w:rPr>
          <w:rFonts w:eastAsia="ＭＳ 明朝"/>
          <w:lang w:val="en-AU"/>
        </w:rPr>
      </w:pPr>
      <w:r w:rsidRPr="006F09F0">
        <w:t>While Director Shizuo Endo, JE1MUI, attended through 2</w:t>
      </w:r>
      <w:r w:rsidRPr="006F09F0">
        <w:rPr>
          <w:vertAlign w:val="superscript"/>
        </w:rPr>
        <w:t>nd</w:t>
      </w:r>
      <w:r w:rsidRPr="006F09F0">
        <w:t xml:space="preserve"> </w:t>
      </w:r>
      <w:r>
        <w:rPr>
          <w:rFonts w:hint="eastAsia"/>
        </w:rPr>
        <w:t>to</w:t>
      </w:r>
      <w:r w:rsidRPr="006F09F0">
        <w:t xml:space="preserve"> 4</w:t>
      </w:r>
      <w:r w:rsidRPr="006F09F0">
        <w:rPr>
          <w:vertAlign w:val="superscript"/>
        </w:rPr>
        <w:t>th</w:t>
      </w:r>
      <w:r w:rsidRPr="006F09F0">
        <w:t xml:space="preserve"> APG meetings, </w:t>
      </w:r>
      <w:r w:rsidRPr="006F09F0">
        <w:rPr>
          <w:rFonts w:eastAsia="ＭＳ 明朝"/>
          <w:lang w:val="en-AU"/>
        </w:rPr>
        <w:t xml:space="preserve">Director </w:t>
      </w:r>
      <w:r w:rsidRPr="006F09F0">
        <w:rPr>
          <w:rFonts w:eastAsia="ＭＳ 明朝"/>
          <w:lang w:val="en-NZ"/>
        </w:rPr>
        <w:t xml:space="preserve">Peter Lake, ZL2AZ, attended </w:t>
      </w:r>
      <w:r>
        <w:rPr>
          <w:rFonts w:eastAsia="ＭＳ 明朝" w:hint="eastAsia"/>
          <w:lang w:val="en-NZ"/>
        </w:rPr>
        <w:t xml:space="preserve">through </w:t>
      </w:r>
      <w:r w:rsidRPr="006F09F0">
        <w:t>2</w:t>
      </w:r>
      <w:r w:rsidRPr="006F09F0">
        <w:rPr>
          <w:vertAlign w:val="superscript"/>
        </w:rPr>
        <w:t>nd</w:t>
      </w:r>
      <w:r w:rsidRPr="006F09F0">
        <w:rPr>
          <w:rFonts w:eastAsia="ＭＳ 明朝"/>
          <w:lang w:val="en-NZ"/>
        </w:rPr>
        <w:t xml:space="preserve"> </w:t>
      </w:r>
      <w:r>
        <w:rPr>
          <w:rFonts w:eastAsia="ＭＳ 明朝" w:hint="eastAsia"/>
          <w:lang w:val="en-NZ"/>
        </w:rPr>
        <w:t>to</w:t>
      </w:r>
      <w:r w:rsidRPr="006F09F0">
        <w:rPr>
          <w:rFonts w:eastAsia="ＭＳ 明朝"/>
          <w:lang w:val="en-NZ"/>
        </w:rPr>
        <w:t xml:space="preserve"> 5</w:t>
      </w:r>
      <w:r w:rsidRPr="006F09F0">
        <w:rPr>
          <w:rFonts w:eastAsia="ＭＳ 明朝"/>
          <w:vertAlign w:val="superscript"/>
          <w:lang w:val="en-NZ"/>
        </w:rPr>
        <w:t>th</w:t>
      </w:r>
      <w:r w:rsidRPr="006F09F0">
        <w:rPr>
          <w:rFonts w:eastAsia="ＭＳ 明朝"/>
          <w:lang w:val="en-NZ"/>
        </w:rPr>
        <w:t xml:space="preserve"> meeting</w:t>
      </w:r>
      <w:r>
        <w:rPr>
          <w:rFonts w:eastAsia="ＭＳ 明朝" w:hint="eastAsia"/>
          <w:lang w:val="en-NZ"/>
        </w:rPr>
        <w:t>.</w:t>
      </w:r>
      <w:r w:rsidRPr="006F09F0">
        <w:rPr>
          <w:rFonts w:eastAsia="ＭＳ 明朝"/>
          <w:lang w:val="en-AU"/>
        </w:rPr>
        <w:t xml:space="preserve"> </w:t>
      </w:r>
    </w:p>
    <w:p w:rsidR="00E77BF9" w:rsidRPr="006F09F0" w:rsidRDefault="00E77BF9" w:rsidP="00D572B5">
      <w:pPr>
        <w:spacing w:line="276" w:lineRule="auto"/>
        <w:rPr>
          <w:rFonts w:eastAsia="ＭＳ 明朝"/>
          <w:lang w:val="en-AU"/>
        </w:rPr>
      </w:pPr>
    </w:p>
    <w:p w:rsidR="00E77BF9" w:rsidRPr="006F09F0" w:rsidRDefault="00E77BF9" w:rsidP="00D572B5">
      <w:pPr>
        <w:spacing w:line="276" w:lineRule="auto"/>
      </w:pPr>
      <w:r w:rsidRPr="006F09F0">
        <w:t>Region 3 Secretary Ken Yamamoto, JA3MVI, and Dale Hughes, VK1DSH, Chairman of the drafting group of ITU-R WP5A responsible for agenda item 1.4 attended as a member of each administration through 2</w:t>
      </w:r>
      <w:r w:rsidRPr="006F09F0">
        <w:rPr>
          <w:vertAlign w:val="superscript"/>
        </w:rPr>
        <w:t>nd</w:t>
      </w:r>
      <w:r w:rsidRPr="006F09F0">
        <w:rPr>
          <w:rFonts w:eastAsia="ＭＳ 明朝"/>
          <w:lang w:val="en-NZ"/>
        </w:rPr>
        <w:t xml:space="preserve"> and 5</w:t>
      </w:r>
      <w:r w:rsidRPr="006F09F0">
        <w:rPr>
          <w:rFonts w:eastAsia="ＭＳ 明朝"/>
          <w:vertAlign w:val="superscript"/>
          <w:lang w:val="en-NZ"/>
        </w:rPr>
        <w:t>th</w:t>
      </w:r>
      <w:r w:rsidRPr="006F09F0">
        <w:rPr>
          <w:rFonts w:eastAsia="ＭＳ 明朝"/>
          <w:lang w:val="en-NZ"/>
        </w:rPr>
        <w:t xml:space="preserve"> meeting</w:t>
      </w:r>
      <w:r w:rsidRPr="006F09F0">
        <w:t xml:space="preserve">. Other amateurs including Region 3 Director Prof. Joong-Geun Rhee, HL1AQQ, attended several meeting also as a </w:t>
      </w:r>
      <w:r w:rsidRPr="006F09F0">
        <w:rPr>
          <w:rFonts w:eastAsia="ＭＳ 明朝"/>
          <w:lang w:val="en-NZ"/>
        </w:rPr>
        <w:t xml:space="preserve">member of </w:t>
      </w:r>
      <w:r w:rsidRPr="006F09F0">
        <w:t>each administration. They were very helpful to our activities in each meeting.</w:t>
      </w:r>
    </w:p>
    <w:p w:rsidR="00E77BF9" w:rsidRPr="006F09F0" w:rsidRDefault="00E77BF9" w:rsidP="00D572B5">
      <w:pPr>
        <w:spacing w:line="276" w:lineRule="auto"/>
      </w:pPr>
    </w:p>
    <w:p w:rsidR="00E77BF9" w:rsidRPr="006F09F0" w:rsidRDefault="00E77BF9" w:rsidP="00D572B5">
      <w:pPr>
        <w:spacing w:line="276" w:lineRule="auto"/>
      </w:pPr>
      <w:r w:rsidRPr="006F09F0">
        <w:t xml:space="preserve">At every APG meeting IARU Region 3 submitted an information paper which explained the position of IARU Region 3 on the agenda items that concerned the amateur services. </w:t>
      </w:r>
    </w:p>
    <w:p w:rsidR="00E77BF9" w:rsidRPr="006F09F0" w:rsidRDefault="00E77BF9" w:rsidP="00D572B5">
      <w:pPr>
        <w:spacing w:line="276" w:lineRule="auto"/>
      </w:pPr>
    </w:p>
    <w:p w:rsidR="00E77BF9" w:rsidRPr="006F09F0" w:rsidRDefault="00E77BF9" w:rsidP="00D572B5">
      <w:pPr>
        <w:spacing w:line="276" w:lineRule="auto"/>
      </w:pPr>
      <w:r w:rsidRPr="006F09F0">
        <w:t xml:space="preserve">Region 3 was assisted in preparing its information papers by the IARU and the other Regions through the IARU WRC-reflector. </w:t>
      </w:r>
    </w:p>
    <w:p w:rsidR="00E77BF9" w:rsidRPr="006F09F0" w:rsidRDefault="00E77BF9" w:rsidP="00D572B5">
      <w:pPr>
        <w:spacing w:line="276" w:lineRule="auto"/>
      </w:pPr>
    </w:p>
    <w:p w:rsidR="00E77BF9" w:rsidRPr="006F09F0" w:rsidRDefault="00E77BF9" w:rsidP="00D572B5">
      <w:pPr>
        <w:spacing w:line="276" w:lineRule="auto"/>
      </w:pPr>
      <w:r w:rsidRPr="006F09F0">
        <w:t xml:space="preserve">Directors Shizuo Endo and Peter Lake were able to make a short presentation during each APG meeting.  This enabled the amateur service’s position to be presented to all delegates.  </w:t>
      </w:r>
    </w:p>
    <w:p w:rsidR="00E77BF9" w:rsidRPr="006F09F0" w:rsidRDefault="00E77BF9" w:rsidP="00D572B5">
      <w:pPr>
        <w:spacing w:line="276" w:lineRule="auto"/>
      </w:pPr>
    </w:p>
    <w:p w:rsidR="00E77BF9" w:rsidRPr="006F09F0" w:rsidRDefault="00E77BF9" w:rsidP="00D572B5">
      <w:pPr>
        <w:spacing w:line="276" w:lineRule="auto"/>
        <w:rPr>
          <w:rFonts w:eastAsia="ＭＳ 明朝"/>
        </w:rPr>
      </w:pPr>
      <w:r w:rsidRPr="006F09F0">
        <w:t xml:space="preserve">Agenda items 1.4 (seeking a secondary allocation for the amateur service within the band 5 250 kHz - 5 450 kHz) is an important item for amateurs.  </w:t>
      </w:r>
      <w:r w:rsidRPr="006F09F0">
        <w:rPr>
          <w:rFonts w:eastAsia="ＭＳ 明朝"/>
        </w:rPr>
        <w:t>APT’ views and position on the agenda items, which was adopted at the last APG meeting, are as follows. This means, unfortunately, we have not received a positive majority support from societies in APT on the agenda item</w:t>
      </w:r>
      <w:r>
        <w:rPr>
          <w:rFonts w:eastAsia="ＭＳ 明朝"/>
        </w:rPr>
        <w:t xml:space="preserve"> at this time</w:t>
      </w:r>
    </w:p>
    <w:p w:rsidR="00E77BF9" w:rsidRPr="006F09F0" w:rsidRDefault="00E77BF9" w:rsidP="00D572B5">
      <w:pPr>
        <w:spacing w:line="276" w:lineRule="auto"/>
        <w:rPr>
          <w:rFonts w:eastAsia="ＭＳ 明朝"/>
        </w:rPr>
      </w:pPr>
    </w:p>
    <w:p w:rsidR="00E77BF9" w:rsidRPr="006F09F0" w:rsidRDefault="00E77BF9" w:rsidP="00D572B5">
      <w:pPr>
        <w:spacing w:after="120" w:line="276" w:lineRule="auto"/>
        <w:rPr>
          <w:b/>
        </w:rPr>
      </w:pPr>
      <w:r w:rsidRPr="006F09F0">
        <w:rPr>
          <w:b/>
        </w:rPr>
        <w:t>"A</w:t>
      </w:r>
      <w:r>
        <w:rPr>
          <w:b/>
        </w:rPr>
        <w:t>PT’s Views and Position</w:t>
      </w:r>
      <w:r w:rsidRPr="006F09F0">
        <w:rPr>
          <w:b/>
        </w:rPr>
        <w:t>:</w:t>
      </w:r>
    </w:p>
    <w:p w:rsidR="00E77BF9" w:rsidRPr="006F09F0" w:rsidRDefault="00242549" w:rsidP="00D572B5">
      <w:pPr>
        <w:spacing w:after="120" w:line="276" w:lineRule="auto"/>
        <w:rPr>
          <w:lang w:eastAsia="ko-KR"/>
        </w:rPr>
      </w:pPr>
      <w:r>
        <w:rPr>
          <w:lang w:eastAsia="ko-KR"/>
        </w:rPr>
        <w:t xml:space="preserve">Taking </w:t>
      </w:r>
      <w:r w:rsidR="00E77BF9" w:rsidRPr="006F09F0">
        <w:rPr>
          <w:lang w:val="en-CA" w:eastAsia="ko-KR"/>
        </w:rPr>
        <w:t xml:space="preserve"> into account the ITU-R studies</w:t>
      </w:r>
      <w:r w:rsidR="00E77BF9" w:rsidRPr="006F09F0">
        <w:t>, the APT views and position are as follows</w:t>
      </w:r>
      <w:r w:rsidR="00E77BF9" w:rsidRPr="006F09F0">
        <w:rPr>
          <w:lang w:eastAsia="ko-KR"/>
        </w:rPr>
        <w:t>:</w:t>
      </w:r>
    </w:p>
    <w:p w:rsidR="00E77BF9" w:rsidRPr="006F09F0" w:rsidRDefault="00E77BF9" w:rsidP="00D572B5">
      <w:pPr>
        <w:numPr>
          <w:ilvl w:val="0"/>
          <w:numId w:val="10"/>
        </w:numPr>
        <w:spacing w:after="120" w:line="276" w:lineRule="auto"/>
        <w:ind w:left="660" w:hanging="660"/>
      </w:pPr>
      <w:r w:rsidRPr="006F09F0">
        <w:rPr>
          <w:rFonts w:eastAsia="SimSun"/>
          <w:snapToGrid w:val="0"/>
          <w:lang w:eastAsia="zh-CN"/>
        </w:rPr>
        <w:tab/>
        <w:t xml:space="preserve">APT Members </w:t>
      </w:r>
      <w:r w:rsidRPr="006F09F0">
        <w:rPr>
          <w:snapToGrid w:val="0"/>
        </w:rPr>
        <w:t>fully support the protection of incumbent se</w:t>
      </w:r>
      <w:r w:rsidR="00D572B5">
        <w:rPr>
          <w:snapToGrid w:val="0"/>
        </w:rPr>
        <w:t xml:space="preserve">rvices within the band 5 250 – </w:t>
      </w:r>
      <w:r w:rsidRPr="006F09F0">
        <w:rPr>
          <w:snapToGrid w:val="0"/>
        </w:rPr>
        <w:t>5 450 kHz;</w:t>
      </w:r>
    </w:p>
    <w:p w:rsidR="00E77BF9" w:rsidRPr="006F09F0" w:rsidRDefault="00E77BF9" w:rsidP="00D572B5">
      <w:pPr>
        <w:pStyle w:val="11"/>
        <w:numPr>
          <w:ilvl w:val="0"/>
          <w:numId w:val="10"/>
        </w:numPr>
        <w:tabs>
          <w:tab w:val="left" w:pos="825"/>
          <w:tab w:val="left" w:pos="1871"/>
          <w:tab w:val="left" w:pos="2268"/>
        </w:tabs>
        <w:overflowPunct w:val="0"/>
        <w:autoSpaceDE w:val="0"/>
        <w:autoSpaceDN w:val="0"/>
        <w:adjustRightInd w:val="0"/>
        <w:spacing w:after="120" w:line="276" w:lineRule="auto"/>
        <w:ind w:leftChars="0" w:left="660" w:hanging="660"/>
        <w:contextualSpacing/>
        <w:rPr>
          <w:rFonts w:ascii="Times New Roman" w:eastAsia="Malgun Gothic" w:hAnsi="Times New Roman"/>
          <w:lang w:val="x-none" w:eastAsia="ko-KR"/>
        </w:rPr>
      </w:pPr>
      <w:r w:rsidRPr="006F09F0">
        <w:rPr>
          <w:rFonts w:ascii="Times New Roman" w:eastAsia="Malgun Gothic" w:hAnsi="Times New Roman"/>
          <w:lang w:val="x-none" w:eastAsia="ko-KR"/>
        </w:rPr>
        <w:t xml:space="preserve">No compromise solution was reached.  The group decided to not develop </w:t>
      </w:r>
      <w:r w:rsidRPr="006F09F0">
        <w:rPr>
          <w:rFonts w:ascii="Times New Roman" w:hAnsi="Times New Roman"/>
          <w:lang w:eastAsia="x-none"/>
        </w:rPr>
        <w:t>Preliminary APT Common Proposal (PACP) for Agenda item 1.4."</w:t>
      </w:r>
    </w:p>
    <w:p w:rsidR="00E77BF9" w:rsidRPr="006F09F0" w:rsidRDefault="00E77BF9" w:rsidP="00D572B5">
      <w:pPr>
        <w:spacing w:line="276" w:lineRule="auto"/>
        <w:rPr>
          <w:rFonts w:eastAsia="ＭＳ 明朝"/>
          <w:lang w:val="en-AU"/>
        </w:rPr>
      </w:pPr>
      <w:r w:rsidRPr="006F09F0">
        <w:rPr>
          <w:rFonts w:eastAsia="ＭＳ 明朝"/>
          <w:lang w:val="en-AU"/>
        </w:rPr>
        <w:t xml:space="preserve"> </w:t>
      </w:r>
    </w:p>
    <w:p w:rsidR="00E77BF9" w:rsidRPr="00836BE4" w:rsidRDefault="00E77BF9" w:rsidP="00D572B5">
      <w:pPr>
        <w:spacing w:line="276" w:lineRule="auto"/>
        <w:rPr>
          <w:b/>
        </w:rPr>
      </w:pPr>
      <w:r w:rsidRPr="00836BE4">
        <w:rPr>
          <w:b/>
        </w:rPr>
        <w:t>1.2 Relationship with the APT</w:t>
      </w:r>
    </w:p>
    <w:p w:rsidR="00E77BF9" w:rsidRPr="006F09F0" w:rsidRDefault="00E77BF9" w:rsidP="00D572B5">
      <w:pPr>
        <w:spacing w:line="276" w:lineRule="auto"/>
      </w:pPr>
    </w:p>
    <w:p w:rsidR="00E77BF9" w:rsidRPr="006F09F0" w:rsidRDefault="00E77BF9" w:rsidP="00D572B5">
      <w:pPr>
        <w:spacing w:line="276" w:lineRule="auto"/>
      </w:pPr>
      <w:r w:rsidRPr="006F09F0">
        <w:t>In the Directors Report to the 14th Conference attention was drawn to certain aspects of the relationship between IARU Region 3 and the APT.  Since then, as a result of some changes to the APT documentation relating to participation in the APG, the Directors believe</w:t>
      </w:r>
      <w:r>
        <w:t>d</w:t>
      </w:r>
      <w:r w:rsidRPr="006F09F0">
        <w:t xml:space="preserve"> that a formal and more secure basis for the Region’s participation in the APG </w:t>
      </w:r>
      <w:r>
        <w:t xml:space="preserve">was </w:t>
      </w:r>
      <w:r w:rsidRPr="006F09F0">
        <w:t xml:space="preserve">important. </w:t>
      </w:r>
    </w:p>
    <w:p w:rsidR="00E77BF9" w:rsidRPr="006F09F0" w:rsidRDefault="00E77BF9" w:rsidP="00D572B5">
      <w:pPr>
        <w:spacing w:line="276" w:lineRule="auto"/>
      </w:pPr>
    </w:p>
    <w:p w:rsidR="00E77BF9" w:rsidRPr="006F09F0" w:rsidRDefault="00E77BF9" w:rsidP="00D572B5">
      <w:pPr>
        <w:spacing w:line="276" w:lineRule="auto"/>
      </w:pPr>
      <w:r w:rsidRPr="006F09F0">
        <w:t>The Chairman and directors ha</w:t>
      </w:r>
      <w:r>
        <w:t>d</w:t>
      </w:r>
      <w:r w:rsidRPr="006F09F0">
        <w:t xml:space="preserve"> engaged in negotiations that would hopefully lead to a secure ongoing relationship between IARU Region 3 and APT </w:t>
      </w:r>
      <w:r>
        <w:t>and</w:t>
      </w:r>
      <w:r w:rsidRPr="006F09F0">
        <w:t xml:space="preserve"> a letter was sent to then-Secretary General Mr. Toshiyuki Yamada of APT from Region 3 Secretary on 17 November 2010. Unfortunately no response from APT was received; therefore, the new Chairman </w:t>
      </w:r>
      <w:r w:rsidRPr="006F09F0">
        <w:rPr>
          <w:rStyle w:val="a5"/>
        </w:rPr>
        <w:t>Gopal Madhavan, VU2GMN,</w:t>
      </w:r>
      <w:r w:rsidRPr="006F09F0">
        <w:t xml:space="preserve"> sent a letter request</w:t>
      </w:r>
      <w:r>
        <w:t>ing</w:t>
      </w:r>
      <w:r w:rsidRPr="006F09F0">
        <w:t xml:space="preserve"> an appointment to then-Secretary General. </w:t>
      </w:r>
    </w:p>
    <w:p w:rsidR="00E77BF9" w:rsidRPr="006F09F0" w:rsidRDefault="00E77BF9" w:rsidP="00D572B5">
      <w:pPr>
        <w:spacing w:line="276" w:lineRule="auto"/>
      </w:pPr>
    </w:p>
    <w:p w:rsidR="00E77BF9" w:rsidRPr="006F09F0" w:rsidRDefault="00E77BF9" w:rsidP="00D572B5">
      <w:pPr>
        <w:pStyle w:val="NoSpacing1"/>
        <w:spacing w:line="276" w:lineRule="auto"/>
        <w:rPr>
          <w:rStyle w:val="a5"/>
          <w:rFonts w:ascii="Times New Roman" w:hAnsi="Times New Roman"/>
          <w:sz w:val="24"/>
          <w:szCs w:val="24"/>
          <w:lang w:eastAsia="ja-JP"/>
        </w:rPr>
      </w:pPr>
      <w:r w:rsidRPr="006F09F0">
        <w:rPr>
          <w:rFonts w:ascii="Times New Roman" w:hAnsi="Times New Roman"/>
          <w:sz w:val="24"/>
          <w:szCs w:val="24"/>
        </w:rPr>
        <w:t xml:space="preserve">The first meeting with Mr. Yamada was set on 18 March 2013 at Bangkok, and Gopal and Director Endo attended the meeting. </w:t>
      </w:r>
      <w:r w:rsidRPr="006F09F0">
        <w:rPr>
          <w:rFonts w:ascii="Times New Roman" w:hAnsi="Times New Roman"/>
          <w:sz w:val="24"/>
          <w:szCs w:val="24"/>
          <w:lang w:eastAsia="ja-JP"/>
        </w:rPr>
        <w:t>Since then</w:t>
      </w:r>
      <w:r w:rsidRPr="006F09F0">
        <w:rPr>
          <w:rFonts w:ascii="Times New Roman" w:hAnsi="Times New Roman"/>
          <w:sz w:val="24"/>
          <w:szCs w:val="24"/>
        </w:rPr>
        <w:t xml:space="preserve"> Gopal continued t</w:t>
      </w:r>
      <w:r>
        <w:rPr>
          <w:rFonts w:ascii="Times New Roman" w:hAnsi="Times New Roman"/>
          <w:sz w:val="24"/>
          <w:szCs w:val="24"/>
        </w:rPr>
        <w:t>he</w:t>
      </w:r>
      <w:r w:rsidRPr="006F09F0">
        <w:rPr>
          <w:rFonts w:ascii="Times New Roman" w:hAnsi="Times New Roman"/>
          <w:sz w:val="24"/>
          <w:szCs w:val="24"/>
        </w:rPr>
        <w:t xml:space="preserve"> contact with Mr. Yamada by correspondence, and finally the </w:t>
      </w:r>
      <w:r w:rsidRPr="006F09F0">
        <w:rPr>
          <w:rFonts w:ascii="Times New Roman" w:hAnsi="Times New Roman"/>
          <w:sz w:val="24"/>
          <w:szCs w:val="24"/>
          <w:lang w:eastAsia="ja-JP"/>
        </w:rPr>
        <w:t xml:space="preserve">draft </w:t>
      </w:r>
      <w:r w:rsidRPr="006F09F0">
        <w:rPr>
          <w:rFonts w:ascii="Times New Roman" w:hAnsi="Times New Roman"/>
          <w:sz w:val="24"/>
          <w:szCs w:val="24"/>
        </w:rPr>
        <w:t xml:space="preserve">Memorandum was approved </w:t>
      </w:r>
      <w:r w:rsidRPr="006F09F0">
        <w:rPr>
          <w:rStyle w:val="a5"/>
          <w:rFonts w:ascii="Times New Roman" w:hAnsi="Times New Roman"/>
          <w:sz w:val="24"/>
          <w:szCs w:val="24"/>
          <w:lang w:eastAsia="ja-JP"/>
        </w:rPr>
        <w:t xml:space="preserve">at APT General Assembly in November 2014. The </w:t>
      </w:r>
      <w:r w:rsidRPr="006F09F0">
        <w:rPr>
          <w:rFonts w:ascii="Times New Roman" w:hAnsi="Times New Roman"/>
          <w:sz w:val="24"/>
          <w:szCs w:val="24"/>
        </w:rPr>
        <w:t>Memorandum</w:t>
      </w:r>
      <w:r w:rsidRPr="006F09F0">
        <w:rPr>
          <w:rStyle w:val="a5"/>
          <w:rFonts w:ascii="Times New Roman" w:hAnsi="Times New Roman"/>
          <w:sz w:val="24"/>
          <w:szCs w:val="24"/>
          <w:lang w:eastAsia="ja-JP"/>
        </w:rPr>
        <w:t xml:space="preserve"> of Understanding was concluded with signing by Mr. Yamada and Gopal Madhavan VU2GMN.</w:t>
      </w:r>
    </w:p>
    <w:p w:rsidR="00E77BF9" w:rsidRDefault="00E77BF9" w:rsidP="00D572B5">
      <w:pPr>
        <w:pStyle w:val="NoSpacing1"/>
        <w:spacing w:line="276" w:lineRule="auto"/>
        <w:rPr>
          <w:rStyle w:val="a5"/>
          <w:rFonts w:ascii="Times New Roman" w:hAnsi="Times New Roman"/>
          <w:sz w:val="24"/>
          <w:szCs w:val="24"/>
          <w:lang w:eastAsia="ja-JP"/>
        </w:rPr>
      </w:pPr>
    </w:p>
    <w:p w:rsidR="00D572B5" w:rsidRDefault="00D572B5" w:rsidP="00D572B5">
      <w:pPr>
        <w:pStyle w:val="NoSpacing1"/>
        <w:spacing w:line="276" w:lineRule="auto"/>
        <w:rPr>
          <w:rStyle w:val="a5"/>
          <w:rFonts w:ascii="Times New Roman" w:hAnsi="Times New Roman"/>
          <w:sz w:val="24"/>
          <w:szCs w:val="24"/>
          <w:lang w:eastAsia="ja-JP"/>
        </w:rPr>
      </w:pPr>
    </w:p>
    <w:p w:rsidR="00D572B5" w:rsidRPr="006F09F0" w:rsidRDefault="00D572B5" w:rsidP="00D572B5">
      <w:pPr>
        <w:pStyle w:val="NoSpacing1"/>
        <w:spacing w:line="276" w:lineRule="auto"/>
        <w:rPr>
          <w:rStyle w:val="a5"/>
          <w:rFonts w:ascii="Times New Roman" w:hAnsi="Times New Roman"/>
          <w:sz w:val="24"/>
          <w:szCs w:val="24"/>
          <w:lang w:eastAsia="ja-JP"/>
        </w:rPr>
      </w:pPr>
    </w:p>
    <w:p w:rsidR="00E77BF9" w:rsidRDefault="00E77BF9" w:rsidP="00D572B5">
      <w:pPr>
        <w:pStyle w:val="NoSpacing1"/>
        <w:numPr>
          <w:ilvl w:val="0"/>
          <w:numId w:val="9"/>
        </w:numPr>
        <w:spacing w:line="276" w:lineRule="auto"/>
        <w:rPr>
          <w:rStyle w:val="a5"/>
          <w:rFonts w:ascii="Times New Roman" w:hAnsi="Times New Roman"/>
          <w:b/>
          <w:sz w:val="24"/>
          <w:szCs w:val="24"/>
          <w:lang w:eastAsia="ja-JP"/>
        </w:rPr>
      </w:pPr>
      <w:r w:rsidRPr="00836BE4">
        <w:rPr>
          <w:rStyle w:val="a5"/>
          <w:rFonts w:ascii="Times New Roman" w:hAnsi="Times New Roman"/>
          <w:b/>
          <w:sz w:val="24"/>
          <w:szCs w:val="24"/>
          <w:lang w:eastAsia="ja-JP"/>
        </w:rPr>
        <w:lastRenderedPageBreak/>
        <w:t>Spectrum issue in IARU</w:t>
      </w:r>
    </w:p>
    <w:p w:rsidR="00D572B5" w:rsidRPr="00836BE4" w:rsidRDefault="00D572B5" w:rsidP="00D572B5">
      <w:pPr>
        <w:pStyle w:val="NoSpacing1"/>
        <w:spacing w:line="276" w:lineRule="auto"/>
        <w:ind w:left="360"/>
        <w:rPr>
          <w:rStyle w:val="a5"/>
          <w:rFonts w:ascii="Times New Roman" w:hAnsi="Times New Roman"/>
          <w:b/>
          <w:sz w:val="24"/>
          <w:szCs w:val="24"/>
          <w:lang w:eastAsia="ja-JP"/>
        </w:rPr>
      </w:pPr>
    </w:p>
    <w:p w:rsidR="00E77BF9" w:rsidRPr="006F09F0" w:rsidRDefault="00E77BF9" w:rsidP="00D572B5">
      <w:pPr>
        <w:spacing w:line="276" w:lineRule="auto"/>
      </w:pPr>
      <w:r w:rsidRPr="006F09F0">
        <w:t xml:space="preserve">At the 2013 IARU AC-meeting in Cancun, it was decided to discontinue the Future Spectrum Committee (FSC) after they had delivered their report. </w:t>
      </w:r>
    </w:p>
    <w:p w:rsidR="00E77BF9" w:rsidRPr="006F09F0" w:rsidRDefault="00E77BF9" w:rsidP="00D572B5">
      <w:pPr>
        <w:spacing w:line="276" w:lineRule="auto"/>
      </w:pPr>
    </w:p>
    <w:p w:rsidR="00E77BF9" w:rsidRPr="006F09F0" w:rsidRDefault="00E77BF9" w:rsidP="00D572B5">
      <w:pPr>
        <w:spacing w:line="276" w:lineRule="auto"/>
      </w:pPr>
      <w:r w:rsidRPr="006F09F0">
        <w:t>The AC also agreed that such spectrum work that had been done in bringing the FSC report forward was very important for IARU spectrum work and policy at ITU as well as in the regions towards their RTOs.</w:t>
      </w:r>
    </w:p>
    <w:p w:rsidR="00E77BF9" w:rsidRPr="006F09F0" w:rsidRDefault="00E77BF9" w:rsidP="00D572B5">
      <w:pPr>
        <w:spacing w:line="276" w:lineRule="auto"/>
      </w:pPr>
    </w:p>
    <w:p w:rsidR="00E77BF9" w:rsidRPr="006F09F0" w:rsidRDefault="00E77BF9" w:rsidP="00D572B5">
      <w:pPr>
        <w:spacing w:line="276" w:lineRule="auto"/>
      </w:pPr>
      <w:r w:rsidRPr="006F09F0">
        <w:t>Region 3 Chairman Gopal nominated Director Endo the Region 3 spectrum contact person.</w:t>
      </w:r>
    </w:p>
    <w:p w:rsidR="00E77BF9" w:rsidRPr="006F09F0" w:rsidRDefault="00E77BF9" w:rsidP="00D572B5">
      <w:pPr>
        <w:spacing w:line="276" w:lineRule="auto"/>
      </w:pPr>
    </w:p>
    <w:p w:rsidR="00E77BF9" w:rsidRPr="006F09F0" w:rsidRDefault="00E77BF9" w:rsidP="00D572B5">
      <w:pPr>
        <w:spacing w:line="276" w:lineRule="auto"/>
      </w:pPr>
      <w:r w:rsidRPr="006F09F0">
        <w:t>At the request of Mr. Ole, LA2RR IARU Vice President, Director Endo examined an FSC report from the Region 3 point of view with the assistance from Chairman, Directors and Secretary, and sent some corrections and comments to him.</w:t>
      </w:r>
    </w:p>
    <w:p w:rsidR="00E77BF9" w:rsidRPr="006F09F0" w:rsidRDefault="00E77BF9" w:rsidP="00D572B5">
      <w:pPr>
        <w:spacing w:line="276" w:lineRule="auto"/>
      </w:pPr>
    </w:p>
    <w:p w:rsidR="00E77BF9" w:rsidRPr="00836BE4" w:rsidRDefault="00E77BF9" w:rsidP="00D572B5">
      <w:pPr>
        <w:pStyle w:val="ab"/>
        <w:numPr>
          <w:ilvl w:val="0"/>
          <w:numId w:val="9"/>
        </w:numPr>
        <w:spacing w:line="276" w:lineRule="auto"/>
        <w:ind w:leftChars="0"/>
        <w:rPr>
          <w:rFonts w:ascii="Times New Roman" w:hAnsi="Times New Roman" w:cs="Times New Roman"/>
          <w:b/>
          <w:sz w:val="24"/>
          <w:szCs w:val="24"/>
        </w:rPr>
      </w:pPr>
      <w:r w:rsidRPr="00836BE4">
        <w:rPr>
          <w:rFonts w:ascii="Times New Roman" w:hAnsi="Times New Roman" w:cs="Times New Roman"/>
          <w:b/>
          <w:sz w:val="24"/>
          <w:szCs w:val="24"/>
        </w:rPr>
        <w:t>Region 3 Strategic plan</w:t>
      </w:r>
    </w:p>
    <w:p w:rsidR="00E77BF9" w:rsidRPr="006F09F0" w:rsidRDefault="00E77BF9" w:rsidP="00D572B5">
      <w:pPr>
        <w:spacing w:line="276" w:lineRule="auto"/>
      </w:pPr>
      <w:r w:rsidRPr="006F09F0">
        <w:t>Director Endo proposed modifications to the Region 3 Strategic Plan for simplification and better understanding at 2013 and 2014 Directors meetings. After lengthy discussion a revised version was approved at the 2014 Directors meeting.</w:t>
      </w:r>
    </w:p>
    <w:p w:rsidR="00E77BF9" w:rsidRPr="006F09F0" w:rsidRDefault="00E77BF9" w:rsidP="00D572B5">
      <w:pPr>
        <w:spacing w:line="276" w:lineRule="auto"/>
      </w:pPr>
      <w:r w:rsidRPr="006F09F0">
        <w:t xml:space="preserve">  </w:t>
      </w:r>
    </w:p>
    <w:p w:rsidR="00E77BF9" w:rsidRPr="00836BE4" w:rsidRDefault="00E77BF9" w:rsidP="00D572B5">
      <w:pPr>
        <w:pStyle w:val="ab"/>
        <w:numPr>
          <w:ilvl w:val="0"/>
          <w:numId w:val="9"/>
        </w:numPr>
        <w:spacing w:line="276" w:lineRule="auto"/>
        <w:ind w:leftChars="0"/>
        <w:rPr>
          <w:rFonts w:ascii="Times New Roman" w:hAnsi="Times New Roman" w:cs="Times New Roman"/>
          <w:b/>
          <w:sz w:val="24"/>
          <w:szCs w:val="24"/>
        </w:rPr>
      </w:pPr>
      <w:r w:rsidRPr="00836BE4">
        <w:rPr>
          <w:rFonts w:ascii="Times New Roman" w:hAnsi="Times New Roman" w:cs="Times New Roman"/>
          <w:b/>
          <w:sz w:val="24"/>
          <w:szCs w:val="24"/>
        </w:rPr>
        <w:t>Satellite issues</w:t>
      </w:r>
    </w:p>
    <w:p w:rsidR="00E77BF9" w:rsidRPr="006F09F0" w:rsidRDefault="00E77BF9" w:rsidP="00D572B5">
      <w:pPr>
        <w:spacing w:afterLines="50" w:after="120" w:line="276" w:lineRule="auto"/>
        <w:ind w:leftChars="-24" w:left="-53" w:hangingChars="2" w:hanging="5"/>
      </w:pPr>
      <w:r w:rsidRPr="006F09F0">
        <w:t xml:space="preserve">At 2013 Directors meeting Director Endo recommended that the 2 m band be used exclusively for down link on all future satellites to avoid interference from illegal operators, e.g. taxi operators and that </w:t>
      </w:r>
      <w:r w:rsidRPr="006F09F0">
        <w:rPr>
          <w:rFonts w:eastAsia="Times New Roman"/>
        </w:rPr>
        <w:t xml:space="preserve">the 144.000-144.035 MHz section </w:t>
      </w:r>
      <w:r w:rsidRPr="006F09F0">
        <w:t xml:space="preserve">be </w:t>
      </w:r>
      <w:r w:rsidRPr="006F09F0">
        <w:rPr>
          <w:rFonts w:eastAsia="Times New Roman"/>
        </w:rPr>
        <w:t>additional</w:t>
      </w:r>
      <w:r w:rsidRPr="006F09F0">
        <w:t>ly</w:t>
      </w:r>
      <w:r w:rsidRPr="006F09F0">
        <w:rPr>
          <w:rFonts w:eastAsia="Times New Roman"/>
        </w:rPr>
        <w:t xml:space="preserve"> </w:t>
      </w:r>
      <w:r w:rsidRPr="006F09F0">
        <w:t xml:space="preserve">allocated </w:t>
      </w:r>
      <w:r w:rsidRPr="006F09F0">
        <w:rPr>
          <w:rFonts w:eastAsia="Times New Roman"/>
        </w:rPr>
        <w:t>for satellite down link</w:t>
      </w:r>
      <w:r w:rsidRPr="006F09F0">
        <w:t xml:space="preserve"> as the bottom 35 kHz of the 2 m band is almost completely unused. It was agreed that a recommendation on these lines be sent to Region 3 Societies.</w:t>
      </w:r>
    </w:p>
    <w:p w:rsidR="00E77BF9" w:rsidRPr="006F09F0" w:rsidRDefault="00E77BF9" w:rsidP="00D572B5">
      <w:pPr>
        <w:spacing w:afterLines="50" w:after="120" w:line="276" w:lineRule="auto"/>
        <w:ind w:leftChars="-24" w:left="-53" w:hangingChars="2" w:hanging="5"/>
      </w:pPr>
      <w:r w:rsidRPr="006F09F0">
        <w:t xml:space="preserve">Director Endo </w:t>
      </w:r>
      <w:r>
        <w:t xml:space="preserve">has </w:t>
      </w:r>
      <w:r w:rsidRPr="006F09F0">
        <w:t xml:space="preserve">drafted a paper, which proposes a modification to the Region 3 band plan in VHF band, addressed to the October Region 3 Conference (Doc. No. 022).  </w:t>
      </w:r>
    </w:p>
    <w:p w:rsidR="00E77BF9" w:rsidRDefault="00E77BF9" w:rsidP="00D572B5">
      <w:pPr>
        <w:spacing w:line="276" w:lineRule="auto"/>
      </w:pPr>
    </w:p>
    <w:p w:rsidR="0005660E" w:rsidRDefault="0005660E" w:rsidP="00D572B5">
      <w:pPr>
        <w:spacing w:line="276" w:lineRule="auto"/>
        <w:rPr>
          <w:rFonts w:eastAsia="ＭＳ 明朝"/>
          <w:lang w:eastAsia="ja-JP"/>
        </w:rPr>
      </w:pPr>
    </w:p>
    <w:p w:rsidR="00FF4E8A" w:rsidRDefault="00FF4E8A" w:rsidP="00FF4E8A">
      <w:pPr>
        <w:pStyle w:val="Table"/>
        <w:keepNext w:val="0"/>
        <w:tabs>
          <w:tab w:val="left" w:pos="720"/>
        </w:tabs>
        <w:spacing w:before="120" w:after="0"/>
        <w:rPr>
          <w:caps w:val="0"/>
          <w:lang w:val="en-US"/>
        </w:rPr>
      </w:pPr>
      <w:r>
        <w:rPr>
          <w:caps w:val="0"/>
          <w:lang w:val="en-US"/>
        </w:rPr>
        <w:t>____________________</w:t>
      </w:r>
    </w:p>
    <w:p w:rsidR="0005660E" w:rsidRDefault="0005660E" w:rsidP="00D572B5">
      <w:pPr>
        <w:spacing w:line="276" w:lineRule="auto"/>
        <w:rPr>
          <w:rFonts w:eastAsia="ＭＳ 明朝"/>
          <w:lang w:eastAsia="ja-JP"/>
        </w:rPr>
      </w:pPr>
      <w:bookmarkStart w:id="1" w:name="_GoBack"/>
      <w:bookmarkEnd w:id="1"/>
    </w:p>
    <w:p w:rsidR="003C2A5B" w:rsidRDefault="003C2A5B" w:rsidP="00D572B5">
      <w:pPr>
        <w:spacing w:line="276" w:lineRule="auto"/>
        <w:rPr>
          <w:rFonts w:eastAsia="ＭＳ 明朝"/>
          <w:lang w:eastAsia="ja-JP"/>
        </w:rPr>
      </w:pPr>
    </w:p>
    <w:p w:rsidR="00156D1D" w:rsidRDefault="00156D1D" w:rsidP="00D572B5">
      <w:pPr>
        <w:spacing w:line="276" w:lineRule="auto"/>
        <w:rPr>
          <w:rFonts w:eastAsia="ＭＳ 明朝"/>
          <w:lang w:eastAsia="ja-JP"/>
        </w:rPr>
      </w:pPr>
    </w:p>
    <w:p w:rsidR="00726191" w:rsidRPr="00D572B5" w:rsidRDefault="00726191" w:rsidP="00D572B5">
      <w:pPr>
        <w:spacing w:line="276" w:lineRule="auto"/>
        <w:rPr>
          <w:rFonts w:eastAsia="ＭＳ 明朝"/>
          <w:lang w:eastAsia="ja-JP"/>
        </w:rPr>
      </w:pPr>
    </w:p>
    <w:sectPr w:rsidR="00726191" w:rsidRPr="00D572B5" w:rsidSect="00A80565">
      <w:headerReference w:type="default" r:id="rId9"/>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52591" w:rsidRDefault="00B52591">
      <w:r>
        <w:separator/>
      </w:r>
    </w:p>
  </w:endnote>
  <w:endnote w:type="continuationSeparator" w:id="0">
    <w:p w:rsidR="00B52591" w:rsidRDefault="00B525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GulimChe">
    <w:panose1 w:val="020B0609000101010101"/>
    <w:charset w:val="81"/>
    <w:family w:val="modern"/>
    <w:pitch w:val="fixed"/>
    <w:sig w:usb0="B00002AF" w:usb1="69D77CFB" w:usb2="00000030" w:usb3="00000000" w:csb0="0008009F" w:csb1="00000000"/>
  </w:font>
  <w:font w:name="Batang">
    <w:altName w:val="바탕"/>
    <w:panose1 w:val="02030600000101010101"/>
    <w:charset w:val="81"/>
    <w:family w:val="roman"/>
    <w:pitch w:val="variable"/>
    <w:sig w:usb0="B00002AF" w:usb1="69D77CFB" w:usb2="00000030" w:usb3="00000000" w:csb0="0008009F" w:csb1="00000000"/>
  </w:font>
  <w:font w:name="BatangChe">
    <w:panose1 w:val="02030609000101010101"/>
    <w:charset w:val="81"/>
    <w:family w:val="modern"/>
    <w:pitch w:val="fixed"/>
    <w:sig w:usb0="B00002AF"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52591" w:rsidRDefault="00B52591">
      <w:r>
        <w:separator/>
      </w:r>
    </w:p>
  </w:footnote>
  <w:footnote w:type="continuationSeparator" w:id="0">
    <w:p w:rsidR="00B52591" w:rsidRDefault="00B5259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C1D" w:rsidRPr="00726191" w:rsidRDefault="00676C1D" w:rsidP="00726191">
    <w:pPr>
      <w:pStyle w:val="a7"/>
      <w:jc w:val="center"/>
      <w:rPr>
        <w:sz w:val="20"/>
        <w:szCs w:val="20"/>
      </w:rPr>
    </w:pPr>
    <w:r w:rsidRPr="00726191">
      <w:rPr>
        <w:sz w:val="20"/>
        <w:szCs w:val="20"/>
      </w:rPr>
      <w:t xml:space="preserve">- </w:t>
    </w:r>
    <w:r w:rsidRPr="00726191">
      <w:rPr>
        <w:rStyle w:val="a5"/>
        <w:sz w:val="20"/>
        <w:szCs w:val="20"/>
      </w:rPr>
      <w:fldChar w:fldCharType="begin"/>
    </w:r>
    <w:r w:rsidRPr="00726191">
      <w:rPr>
        <w:rStyle w:val="a5"/>
        <w:sz w:val="20"/>
        <w:szCs w:val="20"/>
      </w:rPr>
      <w:instrText xml:space="preserve"> PAGE </w:instrText>
    </w:r>
    <w:r w:rsidRPr="00726191">
      <w:rPr>
        <w:rStyle w:val="a5"/>
        <w:sz w:val="20"/>
        <w:szCs w:val="20"/>
      </w:rPr>
      <w:fldChar w:fldCharType="separate"/>
    </w:r>
    <w:r w:rsidR="00FF4E8A">
      <w:rPr>
        <w:rStyle w:val="a5"/>
        <w:noProof/>
        <w:sz w:val="20"/>
        <w:szCs w:val="20"/>
      </w:rPr>
      <w:t>2</w:t>
    </w:r>
    <w:r w:rsidRPr="00726191">
      <w:rPr>
        <w:rStyle w:val="a5"/>
        <w:sz w:val="20"/>
        <w:szCs w:val="20"/>
      </w:rPr>
      <w:fldChar w:fldCharType="end"/>
    </w:r>
    <w:r w:rsidRPr="00726191">
      <w:rPr>
        <w:rStyle w:val="a5"/>
        <w:sz w:val="20"/>
        <w:szCs w:val="20"/>
      </w:rPr>
      <w:t xml:space="preserve"> </w:t>
    </w:r>
    <w:r w:rsidRPr="00726191">
      <w:rPr>
        <w:rStyle w:val="a5"/>
        <w:rFonts w:hint="eastAsia"/>
        <w:sz w:val="20"/>
        <w:szCs w:val="20"/>
      </w:rPr>
      <w:t>-</w:t>
    </w:r>
    <w:r w:rsidRPr="00726191">
      <w:rPr>
        <w:rStyle w:val="a5"/>
        <w:sz w:val="20"/>
        <w:szCs w:val="20"/>
      </w:rPr>
      <w:br/>
      <w:t>Document</w:t>
    </w:r>
    <w:r w:rsidRPr="00726191">
      <w:rPr>
        <w:rStyle w:val="a5"/>
        <w:rFonts w:hint="eastAsia"/>
        <w:sz w:val="20"/>
        <w:szCs w:val="20"/>
      </w:rPr>
      <w:t xml:space="preserve"> No.</w:t>
    </w:r>
    <w:r w:rsidRPr="00726191">
      <w:rPr>
        <w:rStyle w:val="a5"/>
        <w:sz w:val="20"/>
        <w:szCs w:val="20"/>
      </w:rPr>
      <w:t xml:space="preserve"> </w:t>
    </w:r>
    <w:r w:rsidR="000529A1">
      <w:rPr>
        <w:rStyle w:val="a5"/>
        <w:rFonts w:eastAsia="ＭＳ 明朝" w:hint="eastAsia"/>
        <w:sz w:val="20"/>
        <w:szCs w:val="20"/>
        <w:lang w:eastAsia="ja-JP"/>
      </w:rPr>
      <w:t>1</w:t>
    </w:r>
    <w:r w:rsidR="00847A46">
      <w:rPr>
        <w:rStyle w:val="a5"/>
        <w:rFonts w:eastAsia="ＭＳ 明朝"/>
        <w:sz w:val="20"/>
        <w:szCs w:val="20"/>
        <w:lang w:eastAsia="ja-JP"/>
      </w:rPr>
      <w:t>5</w:t>
    </w:r>
    <w:r w:rsidRPr="00726191">
      <w:rPr>
        <w:rStyle w:val="a5"/>
        <w:rFonts w:hint="eastAsia"/>
        <w:sz w:val="20"/>
        <w:szCs w:val="20"/>
      </w:rPr>
      <w:t>/XV</w:t>
    </w:r>
    <w:r w:rsidR="00847A46">
      <w:rPr>
        <w:rStyle w:val="a5"/>
        <w:sz w:val="20"/>
        <w:szCs w:val="20"/>
      </w:rPr>
      <w:t>I</w:t>
    </w:r>
    <w:r w:rsidRPr="00726191">
      <w:rPr>
        <w:rStyle w:val="a5"/>
        <w:rFonts w:hint="eastAsia"/>
        <w:sz w:val="20"/>
        <w:szCs w:val="20"/>
      </w:rPr>
      <w:t>/00</w:t>
    </w:r>
    <w:r w:rsidR="00A56670">
      <w:rPr>
        <w:rStyle w:val="a5"/>
        <w:sz w:val="20"/>
        <w:szCs w:val="20"/>
      </w:rPr>
      <w:t>5a3</w:t>
    </w:r>
  </w:p>
  <w:p w:rsidR="00676C1D" w:rsidRDefault="00676C1D">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 w15:restartNumberingAfterBreak="0">
    <w:nsid w:val="0F4D4133"/>
    <w:multiLevelType w:val="multilevel"/>
    <w:tmpl w:val="C226D6CA"/>
    <w:lvl w:ilvl="0">
      <w:start w:val="1"/>
      <w:numFmt w:val="decimal"/>
      <w:lvlText w:val="%1."/>
      <w:lvlJc w:val="left"/>
      <w:pPr>
        <w:ind w:left="360" w:hanging="360"/>
      </w:pPr>
      <w:rPr>
        <w:rFonts w:hint="default"/>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3"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4"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5"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6"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7"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8" w15:restartNumberingAfterBreak="0">
    <w:nsid w:val="3AEB793C"/>
    <w:multiLevelType w:val="hybridMultilevel"/>
    <w:tmpl w:val="A180204A"/>
    <w:lvl w:ilvl="0" w:tplc="34CE0FC0">
      <w:start w:val="1"/>
      <w:numFmt w:val="decimal"/>
      <w:lvlText w:val="(%1)"/>
      <w:lvlJc w:val="left"/>
      <w:pPr>
        <w:ind w:left="360" w:hanging="360"/>
      </w:pPr>
      <w:rPr>
        <w:rFonts w:cs="Times New Roman"/>
      </w:rPr>
    </w:lvl>
    <w:lvl w:ilvl="1" w:tplc="0C090019">
      <w:start w:val="1"/>
      <w:numFmt w:val="lowerLetter"/>
      <w:lvlText w:val="%2."/>
      <w:lvlJc w:val="left"/>
      <w:pPr>
        <w:ind w:left="1080" w:hanging="360"/>
      </w:pPr>
      <w:rPr>
        <w:rFonts w:cs="Times New Roman"/>
      </w:rPr>
    </w:lvl>
    <w:lvl w:ilvl="2" w:tplc="0C09001B">
      <w:start w:val="1"/>
      <w:numFmt w:val="lowerRoman"/>
      <w:lvlText w:val="%3."/>
      <w:lvlJc w:val="right"/>
      <w:pPr>
        <w:ind w:left="1800" w:hanging="180"/>
      </w:pPr>
      <w:rPr>
        <w:rFonts w:cs="Times New Roman"/>
      </w:rPr>
    </w:lvl>
    <w:lvl w:ilvl="3" w:tplc="0C09000F">
      <w:start w:val="1"/>
      <w:numFmt w:val="decimal"/>
      <w:lvlText w:val="%4."/>
      <w:lvlJc w:val="left"/>
      <w:pPr>
        <w:ind w:left="2520" w:hanging="360"/>
      </w:pPr>
      <w:rPr>
        <w:rFonts w:cs="Times New Roman"/>
      </w:rPr>
    </w:lvl>
    <w:lvl w:ilvl="4" w:tplc="0C090019">
      <w:start w:val="1"/>
      <w:numFmt w:val="lowerLetter"/>
      <w:lvlText w:val="%5."/>
      <w:lvlJc w:val="left"/>
      <w:pPr>
        <w:ind w:left="3240" w:hanging="360"/>
      </w:pPr>
      <w:rPr>
        <w:rFonts w:cs="Times New Roman"/>
      </w:rPr>
    </w:lvl>
    <w:lvl w:ilvl="5" w:tplc="0C09001B">
      <w:start w:val="1"/>
      <w:numFmt w:val="lowerRoman"/>
      <w:lvlText w:val="%6."/>
      <w:lvlJc w:val="right"/>
      <w:pPr>
        <w:ind w:left="3960" w:hanging="180"/>
      </w:pPr>
      <w:rPr>
        <w:rFonts w:cs="Times New Roman"/>
      </w:rPr>
    </w:lvl>
    <w:lvl w:ilvl="6" w:tplc="0C09000F">
      <w:start w:val="1"/>
      <w:numFmt w:val="decimal"/>
      <w:lvlText w:val="%7."/>
      <w:lvlJc w:val="left"/>
      <w:pPr>
        <w:ind w:left="4680" w:hanging="360"/>
      </w:pPr>
      <w:rPr>
        <w:rFonts w:cs="Times New Roman"/>
      </w:rPr>
    </w:lvl>
    <w:lvl w:ilvl="7" w:tplc="0C090019">
      <w:start w:val="1"/>
      <w:numFmt w:val="lowerLetter"/>
      <w:lvlText w:val="%8."/>
      <w:lvlJc w:val="left"/>
      <w:pPr>
        <w:ind w:left="5400" w:hanging="360"/>
      </w:pPr>
      <w:rPr>
        <w:rFonts w:cs="Times New Roman"/>
      </w:rPr>
    </w:lvl>
    <w:lvl w:ilvl="8" w:tplc="0C09001B">
      <w:start w:val="1"/>
      <w:numFmt w:val="lowerRoman"/>
      <w:lvlText w:val="%9."/>
      <w:lvlJc w:val="right"/>
      <w:pPr>
        <w:ind w:left="6120" w:hanging="180"/>
      </w:pPr>
      <w:rPr>
        <w:rFonts w:cs="Times New Roman"/>
      </w:rPr>
    </w:lvl>
  </w:abstractNum>
  <w:abstractNum w:abstractNumId="9"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num w:numId="1">
    <w:abstractNumId w:val="6"/>
  </w:num>
  <w:num w:numId="2">
    <w:abstractNumId w:val="4"/>
  </w:num>
  <w:num w:numId="3">
    <w:abstractNumId w:val="3"/>
  </w:num>
  <w:num w:numId="4">
    <w:abstractNumId w:val="9"/>
  </w:num>
  <w:num w:numId="5">
    <w:abstractNumId w:val="5"/>
  </w:num>
  <w:num w:numId="6">
    <w:abstractNumId w:val="7"/>
  </w:num>
  <w:num w:numId="7">
    <w:abstractNumId w:val="2"/>
  </w:num>
  <w:num w:numId="8">
    <w:abstractNumId w:val="0"/>
  </w:num>
  <w:num w:numId="9">
    <w:abstractNumId w:val="1"/>
  </w:num>
  <w:num w:numId="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2CB0"/>
    <w:rsid w:val="0003595B"/>
    <w:rsid w:val="00035EFB"/>
    <w:rsid w:val="000529A1"/>
    <w:rsid w:val="0005660E"/>
    <w:rsid w:val="000713CF"/>
    <w:rsid w:val="000F5540"/>
    <w:rsid w:val="00113A81"/>
    <w:rsid w:val="00142CB0"/>
    <w:rsid w:val="001539DD"/>
    <w:rsid w:val="00156D1D"/>
    <w:rsid w:val="0017248C"/>
    <w:rsid w:val="00172C79"/>
    <w:rsid w:val="00172D1D"/>
    <w:rsid w:val="0019586B"/>
    <w:rsid w:val="00196568"/>
    <w:rsid w:val="001A2F16"/>
    <w:rsid w:val="001B18C2"/>
    <w:rsid w:val="001B5409"/>
    <w:rsid w:val="001C619C"/>
    <w:rsid w:val="001D5D7E"/>
    <w:rsid w:val="00242549"/>
    <w:rsid w:val="00254A1B"/>
    <w:rsid w:val="0028454D"/>
    <w:rsid w:val="00291350"/>
    <w:rsid w:val="00291C9E"/>
    <w:rsid w:val="002926D4"/>
    <w:rsid w:val="002C07DA"/>
    <w:rsid w:val="002C7EA9"/>
    <w:rsid w:val="002D5248"/>
    <w:rsid w:val="002F418E"/>
    <w:rsid w:val="0034216C"/>
    <w:rsid w:val="003809C7"/>
    <w:rsid w:val="003B5373"/>
    <w:rsid w:val="003B6263"/>
    <w:rsid w:val="003C2A5B"/>
    <w:rsid w:val="003C64A7"/>
    <w:rsid w:val="003D3FDA"/>
    <w:rsid w:val="00420822"/>
    <w:rsid w:val="0045458F"/>
    <w:rsid w:val="004633B4"/>
    <w:rsid w:val="00480B03"/>
    <w:rsid w:val="004A56D2"/>
    <w:rsid w:val="004B3553"/>
    <w:rsid w:val="004D2E86"/>
    <w:rsid w:val="00526E07"/>
    <w:rsid w:val="00530E8C"/>
    <w:rsid w:val="00545933"/>
    <w:rsid w:val="00587875"/>
    <w:rsid w:val="00607E2B"/>
    <w:rsid w:val="00623CE1"/>
    <w:rsid w:val="0063062B"/>
    <w:rsid w:val="00637BE5"/>
    <w:rsid w:val="00667229"/>
    <w:rsid w:val="00676C1D"/>
    <w:rsid w:val="00682BE5"/>
    <w:rsid w:val="00690FED"/>
    <w:rsid w:val="006939A5"/>
    <w:rsid w:val="006A7376"/>
    <w:rsid w:val="006D03B3"/>
    <w:rsid w:val="00712451"/>
    <w:rsid w:val="00726191"/>
    <w:rsid w:val="00732F08"/>
    <w:rsid w:val="0074190C"/>
    <w:rsid w:val="00762576"/>
    <w:rsid w:val="00791060"/>
    <w:rsid w:val="007A7662"/>
    <w:rsid w:val="007B5626"/>
    <w:rsid w:val="0080570B"/>
    <w:rsid w:val="008148E1"/>
    <w:rsid w:val="00847A46"/>
    <w:rsid w:val="008D0E09"/>
    <w:rsid w:val="008E4412"/>
    <w:rsid w:val="0097693B"/>
    <w:rsid w:val="00993355"/>
    <w:rsid w:val="009A4A6D"/>
    <w:rsid w:val="009C09CD"/>
    <w:rsid w:val="009E0413"/>
    <w:rsid w:val="00A13265"/>
    <w:rsid w:val="00A56670"/>
    <w:rsid w:val="00A71136"/>
    <w:rsid w:val="00A80565"/>
    <w:rsid w:val="00A91592"/>
    <w:rsid w:val="00AA474C"/>
    <w:rsid w:val="00AD7E5F"/>
    <w:rsid w:val="00B01AA1"/>
    <w:rsid w:val="00B30C81"/>
    <w:rsid w:val="00B52591"/>
    <w:rsid w:val="00BD7620"/>
    <w:rsid w:val="00BF71AC"/>
    <w:rsid w:val="00C15633"/>
    <w:rsid w:val="00C15799"/>
    <w:rsid w:val="00C357AD"/>
    <w:rsid w:val="00C6069C"/>
    <w:rsid w:val="00CD5431"/>
    <w:rsid w:val="00CF2491"/>
    <w:rsid w:val="00D572B5"/>
    <w:rsid w:val="00D57772"/>
    <w:rsid w:val="00D75A4D"/>
    <w:rsid w:val="00D8478B"/>
    <w:rsid w:val="00D86151"/>
    <w:rsid w:val="00DA7595"/>
    <w:rsid w:val="00DB0A68"/>
    <w:rsid w:val="00DC43A3"/>
    <w:rsid w:val="00DC6954"/>
    <w:rsid w:val="00DE3816"/>
    <w:rsid w:val="00E0124F"/>
    <w:rsid w:val="00E4680F"/>
    <w:rsid w:val="00E674D3"/>
    <w:rsid w:val="00E70FD0"/>
    <w:rsid w:val="00E74909"/>
    <w:rsid w:val="00E77BF9"/>
    <w:rsid w:val="00EB1638"/>
    <w:rsid w:val="00EF7F4A"/>
    <w:rsid w:val="00F34944"/>
    <w:rsid w:val="00F84067"/>
    <w:rsid w:val="00FF4E8A"/>
    <w:rsid w:val="00FF6A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2049">
      <v:textbox inset="5.85pt,.7pt,5.85pt,.7pt"/>
    </o:shapedefaults>
    <o:shapelayout v:ext="edit">
      <o:idmap v:ext="edit" data="1"/>
    </o:shapelayout>
  </w:shapeDefaults>
  <w:decimalSymbol w:val="."/>
  <w:listSeparator w:val=","/>
  <w15:docId w15:val="{CAF040E0-CFCA-4B0B-90EB-8D6EFDFED0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Batang"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7595"/>
    <w:rPr>
      <w:rFonts w:eastAsia="BatangChe"/>
      <w:sz w:val="24"/>
      <w:szCs w:val="24"/>
      <w:lang w:eastAsia="en-US"/>
    </w:rPr>
  </w:style>
  <w:style w:type="paragraph" w:styleId="1">
    <w:name w:val="heading 1"/>
    <w:basedOn w:val="a"/>
    <w:next w:val="a"/>
    <w:qFormat/>
    <w:rsid w:val="00DA7595"/>
    <w:pPr>
      <w:keepNext/>
      <w:jc w:val="center"/>
      <w:outlineLvl w:val="0"/>
    </w:pPr>
    <w:rPr>
      <w:b/>
      <w:bCs/>
      <w:u w:val="single"/>
    </w:r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A7595"/>
    <w:pPr>
      <w:tabs>
        <w:tab w:val="center" w:pos="4320"/>
        <w:tab w:val="right" w:pos="8640"/>
      </w:tabs>
    </w:pPr>
  </w:style>
  <w:style w:type="paragraph" w:customStyle="1" w:styleId="a4">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5">
    <w:name w:val="page number"/>
    <w:basedOn w:val="a0"/>
    <w:rsid w:val="00DA7595"/>
  </w:style>
  <w:style w:type="paragraph" w:styleId="a6">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7">
    <w:name w:val="header"/>
    <w:basedOn w:val="a"/>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8">
    <w:name w:val="Balloon Text"/>
    <w:basedOn w:val="a"/>
    <w:link w:val="a9"/>
    <w:rsid w:val="009E0413"/>
    <w:rPr>
      <w:rFonts w:ascii="Arial" w:eastAsia="ＭＳ ゴシック" w:hAnsi="Arial"/>
      <w:sz w:val="18"/>
      <w:szCs w:val="18"/>
      <w:lang w:val="x-none"/>
    </w:rPr>
  </w:style>
  <w:style w:type="character" w:customStyle="1" w:styleId="a9">
    <w:name w:val="吹き出し (文字)"/>
    <w:link w:val="a8"/>
    <w:rsid w:val="009E0413"/>
    <w:rPr>
      <w:rFonts w:ascii="Arial" w:eastAsia="ＭＳ ゴシック" w:hAnsi="Arial" w:cs="Times New Roman"/>
      <w:sz w:val="18"/>
      <w:szCs w:val="18"/>
      <w:lang w:eastAsia="en-US"/>
    </w:rPr>
  </w:style>
  <w:style w:type="table" w:styleId="aa">
    <w:name w:val="Table Grid"/>
    <w:basedOn w:val="a1"/>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0">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uiPriority w:val="99"/>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paragraph" w:styleId="ab">
    <w:name w:val="List Paragraph"/>
    <w:basedOn w:val="a"/>
    <w:uiPriority w:val="34"/>
    <w:qFormat/>
    <w:rsid w:val="00E77BF9"/>
    <w:pPr>
      <w:widowControl w:val="0"/>
      <w:ind w:leftChars="400" w:left="840"/>
      <w:jc w:val="both"/>
    </w:pPr>
    <w:rPr>
      <w:rFonts w:asciiTheme="minorHAnsi" w:eastAsiaTheme="minorEastAsia" w:hAnsiTheme="minorHAnsi" w:cstheme="minorBidi"/>
      <w:kern w:val="2"/>
      <w:sz w:val="21"/>
      <w:szCs w:val="22"/>
      <w:lang w:eastAsia="ja-JP"/>
    </w:rPr>
  </w:style>
  <w:style w:type="character" w:customStyle="1" w:styleId="ListParagraphChar">
    <w:name w:val="List Paragraph Char"/>
    <w:link w:val="11"/>
    <w:locked/>
    <w:rsid w:val="00E77BF9"/>
    <w:rPr>
      <w:rFonts w:ascii="BatangChe" w:eastAsia="BatangChe" w:hAnsi="BatangChe"/>
      <w:sz w:val="24"/>
      <w:szCs w:val="24"/>
    </w:rPr>
  </w:style>
  <w:style w:type="paragraph" w:customStyle="1" w:styleId="11">
    <w:name w:val="リスト段落1"/>
    <w:basedOn w:val="a"/>
    <w:link w:val="ListParagraphChar"/>
    <w:qFormat/>
    <w:rsid w:val="00E77BF9"/>
    <w:pPr>
      <w:ind w:leftChars="400" w:left="840"/>
    </w:pPr>
    <w:rPr>
      <w:rFonts w:ascii="BatangChe" w:hAnsi="BatangChe"/>
      <w:lang w:eastAsia="ja-JP"/>
    </w:rPr>
  </w:style>
  <w:style w:type="paragraph" w:customStyle="1" w:styleId="NoSpacing1">
    <w:name w:val="No Spacing1"/>
    <w:uiPriority w:val="1"/>
    <w:qFormat/>
    <w:rsid w:val="00E77BF9"/>
    <w:rPr>
      <w:rFonts w:ascii="Calibri" w:eastAsia="ＭＳ 明朝" w:hAnsi="Calibri"/>
      <w:sz w:val="22"/>
      <w:szCs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5448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opal\AppData\Local\Temp\DocumentTemplate.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DocumentTemplate.dotx</Template>
  <TotalTime>1</TotalTime>
  <Pages>1</Pages>
  <Words>846</Words>
  <Characters>4827</Characters>
  <Application>Microsoft Office Word</Application>
  <DocSecurity>0</DocSecurity>
  <Lines>40</Lines>
  <Paragraphs>11</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Toshiba</Company>
  <LinksUpToDate>false</LinksUpToDate>
  <CharactersWithSpaces>5662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Gopal Madhavan</dc:creator>
  <cp:lastModifiedBy>Yamamoto</cp:lastModifiedBy>
  <cp:revision>5</cp:revision>
  <cp:lastPrinted>2009-02-17T09:56:00Z</cp:lastPrinted>
  <dcterms:created xsi:type="dcterms:W3CDTF">2015-09-14T08:09:00Z</dcterms:created>
  <dcterms:modified xsi:type="dcterms:W3CDTF">2015-09-30T04:21:00Z</dcterms:modified>
</cp:coreProperties>
</file>